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Boynuzu Siyasetinde Sudan</w:t>
            </w:r>
          </w:p>
          <w:p>
            <w:pPr/>
            <w:r>
              <w:rPr/>
              <w:t xml:space="preserve">Yazar Adı: </w:t>
            </w:r>
            <w:r>
              <w:rPr>
                <w:b w:val="1"/>
                <w:bCs w:val="1"/>
              </w:rPr>
              <w:t xml:space="preserve">Mehmet Köse</w:t>
            </w:r>
          </w:p>
          <w:p>
            <w:pPr/>
            <w:r>
              <w:rPr/>
              <w:t xml:space="preserve">Alt Başlık: </w:t>
            </w:r>
            <w:r>
              <w:rPr>
                <w:b w:val="1"/>
                <w:bCs w:val="1"/>
              </w:rPr>
              <w:t xml:space="preserve">Afrika Boynuzu Siyasetinde Sudan - Kimlik-Jeopolitik-Güvenlik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9786259407623</w:t>
            </w:r>
          </w:p>
          <w:p>
            <w:pPr/>
            <w:r>
              <w:rPr/>
              <w:t xml:space="preserve">Etiket Fiyatı: </w:t>
            </w:r>
            <w:r>
              <w:rPr>
                <w:b w:val="1"/>
                <w:bCs w:val="1"/>
              </w:rPr>
              <w:t xml:space="preserve">470,00 TL</w:t>
            </w:r>
          </w:p>
        </w:tc>
      </w:tr>
      <w:tr>
        <w:trPr/>
        <w:tc>
          <w:tcPr>
            <w:tcW w:w="9000" w:type="dxa"/>
            <w:vAlign w:val="top"/>
            <w:gridSpan w:val="2"/>
            <w:noWrap/>
          </w:tcPr>
          <w:p>
            <w:pPr/>
            <w:r>
              <w:rPr>
                <w:b w:val="1"/>
                <w:bCs w:val="1"/>
              </w:rPr>
              <w:t xml:space="preserve">Kitap Tanıtım Yazısı : (Arka Kapak)</w:t>
            </w:r>
          </w:p>
          <w:p/>
          <w:p>
            <w:pPr/>
            <w:r>
              <w:rPr/>
              <w:t xml:space="preserve">Bağımsızlığını kazanmasının ardından iki büyük iç savaş geçiren, üç uzun askeri yönetime maruz kalan ve 2011 yılında bölünen ülke geniş coğrafyası, uzun tarihi geçmişi, çeşitlilik barındıran toplumsal yapısı, Afrika- Arap ile Müslüman-Hristiyan-Geleneksel inanç dünyalarının kesişiminde yer alması nedeniyle son derece kompleks yapıdaki Sudan’ı anlamak kolay değildir. Akademide Sudan çalışmalarının Afrika çalışmaları içinde bir alt dal olarak belirginlik kazandığı görülmektedir. Bu ülke ile ilgili olarak ülkemizde son yıllarda bazı yayınlar yapılmış olsa da Sudan çalışmalarının henüz yeterli düzeyde olduğunu söylemekten uzağız. Bu alanda kat edilmesi gereken uzun bir yol bulunmakta ve bu kitap çalışmasının da bu alana katkı yapması amaçlanmaktadır.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https://afrikavakfiyayinlari.com/kitaplar/mehmet-kose-afrika-boynuzu-siyasetinde-sudan-16.html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2026-03-02T07:59:58+03:00</dcterms:created>
  <dcterms:modified xsi:type="dcterms:W3CDTF">2026-03-02T07:59:58+03:00</dcterms:modified>
</cp:coreProperties>
</file>

<file path=docProps/custom.xml><?xml version="1.0" encoding="utf-8"?>
<Properties xmlns="http://schemas.openxmlformats.org/officeDocument/2006/custom-properties" xmlns:vt="http://schemas.openxmlformats.org/officeDocument/2006/docPropsVTypes"/>
</file>